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153</w:t>
      </w:r>
    </w:p>
    <w:p>
      <w:r>
        <w:t>Bundesgericht (BGE), 1983-12-13, DE</w:t>
      </w:r>
    </w:p>
    <w:p>
      <w:r>
        <w:rPr>
          <w:b/>
        </w:rPr>
        <w:t xml:space="preserve">Quelle: </w:t>
      </w:r>
      <w:r>
        <w:t>https://mcp.opencaselaw.ch/entscheid/bge_109 IV 153</w:t>
      </w:r>
    </w:p>
    <w:p>
      <w:r>
        <w:t>FR: ATF 109 IV 153</w:t>
      </w:r>
    </w:p>
    <w:p>
      <w:r>
        <w:t>IT: DTF 109 IV 153</w:t>
      </w:r>
    </w:p>
    <w:p>
      <w:pPr>
        <w:pStyle w:val="Heading2"/>
      </w:pPr>
      <w:r>
        <w:t>Regeste</w:t>
      </w:r>
    </w:p>
    <w:p>
      <w:r>
        <w:t>Regeste Art. 26 Abs. 1, 50 Abs. 3 VStrR; Beschwerde gegen die Durchsuchung von Papieren. 1. Die durch Einsprache gegen die Durchsuchung von Papieren (Art. 50 Abs. 3 VStrR) erwirkte Versiegelung und Verwahrung derselben ist keine anfechtbare Zwangsmassnahme im Sinne von Art. 26 Abs. 1 VStrR. 2. Eine Beschwerde gemäss Art. 26 Abs. 1 VStrR ist zulässig, wenn die Verwaltung mit dem Gesuch um Entsiegelung und Durchsuchung ungebührlich lange zuwartet und dem Betroffenen dadurch ein Nachteil entsteht.</w:t>
      </w:r>
    </w:p>
    <w:p>
      <w:pPr>
        <w:pStyle w:val="Heading2"/>
      </w:pPr>
      <w:r>
        <w:t>Erwägungen</w:t>
      </w:r>
    </w:p>
    <w:p>
      <w:r>
        <w:rPr>
          <w:b/>
        </w:rPr>
        <w:t>E. 1</w:t>
      </w:r>
    </w:p>
    <w:p>
      <w:r>
        <w:t>Soweit das Verwaltungsstrafrecht von der Zwangsmassnahme der Durchsuchung spricht, unterscheidet es zwischen der Durchsuchung von Wohnungen, anderen Räumen, dazu gehörenden Liegenschaften und Personen einerseits (Art. 48 und 49) und der Durchsuchung von Papieren anderseits (Art. 50). Von einer Durchsuchung im letzteren Sinne kann nur gesprochen werden, wenn eine Schrift eingehend durchgelesen wird, um ihren Inhalt festzustellen, bzw. wenn sie als Gegenstand auf allfällige Spuren (Fingerabdrücke usw.) überprüft wird (s. BGE 107 IV 210 E. 2c). Wo jedoch vom Inhaber der Papiere im Sinne des Art. 50 Abs. 3 VStrR gegen eine solche Durchsuchung Einsprache erhoben und damit die Versiegelung und Verwahrung der Akten bewirkt wird, kann von einer anfechtbaren Zwangsmassnahme nicht gesprochen werden. Diese wird ja gerade durch die Einsprache verhindert mit der Folge, dass es nunmehr an der interessierten Verwaltung ist, bei der Anklagekammer BGE 109 IV 153 S. 155 des Bundesgerichts die Ermächtigung zur Entsiegelung und Durchsuchung der Papiere zu verlangen. Solange als diese versiegelt sind, ist ihr Inhaber in seinen Interessen hinreichend geschützt und deshalb nicht befugt, Beschwerde zu führen. Die Beschwerde stünde ihm nur zu, wenn die Verwaltung mit dem Gesuch um Entsiegelung und Durchsuchung der Papiere ungebührlich lange zuwarten und ihm durch ein längeres Vorenthalten derselben ein Nachteil erwachsen würde ( Art. 26 Abs. 1 VStrR ).</w:t>
      </w:r>
    </w:p>
    <w:p>
      <w:r>
        <w:rPr>
          <w:b/>
        </w:rPr>
        <w:t>E. 2</w:t>
      </w:r>
    </w:p>
    <w:p>
      <w:r>
        <w:t>Wie sich im vorliegenden Fall aus dem anlässlich der Vorsprache der untersuchenden Beamten beim Beschwerdeführer aufgenommenen Protokoll vom 28. November 1983 ergibt, verfügten jene, es seien ihnen die sich im Besitz des S. befindlichen Unterlagen über die Wareneinfuhr im Postverkehr zur Einsichtnahme vorzulegen. Daraufhin habe der Beschwerdeführer die "verlangten Belege vorgelegt, die Auswertung jedoch unter Hinweis auf das Bankgeheimnis verweigert". Die vorgelegten Papiere seien deshalb fotokopiert und die Kopien versiegelt und verwahrt worden. Da dieses Protokoll nicht nur von den untersuchenden Beamten, sondern auch von einem Organ des S. unterzeichnet wurde und in der Beschwerde die Richtigkeit der Aufzeichnungen nicht in Abrede gestellt wird, kann von diesen ausgegangen werden. Darnach liegt nichts dafür vor, dass die untersuchenden Beamten irgendwelche Räumlichkeiten durchsucht hätten oder dass ihnen andere Papiere zur Einsichtnahme vorgelegt worden wären als die in der Folge fotokopierten und versiegelten Dokumente. Ist dem aber so, hat weder eine Durchsuchung im Sinne des Art. 48 VStrV noch eine solche nach Art. 50 Abs. 1 VStrV stattgefunden. Vielmehr wurde gerade die letztere durch die Einsprache des Beschwerdeführers verhindert ( Art. 50 Abs. 3 VStrR ). Bei dieser Rechtslage kann nach dem Gesagten im gegenwärtigen Zeitpunkt jedenfalls von einer Beschwerde (recte: von einem Beschwer) des S. keine Rede sein, zumal ja auch nicht die Originale, sondern blosse Fotokopien derselben versiegelt und verwahrt wurden und die Verwaltung bereits ein Entsiegelungsgesuch gestellt hat. Was in der Beschwerdeschrift gegen die "Durchsuchung" vorgebracht wird, kann S. im Entsiegelungsverfahren geltend machen. Zu diesem Zweck wird er das auf Durchsuchung gerichtete Begehren der Verwaltung zur Vernehmlassung zugestellt erhalten.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